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76" w:lineRule="auto" w:after="200"/>
        <w:ind w:left="0"/>
        <w:rPr>
          <w:b/>
          <w:sz w:val="24"/>
          <w:szCs w:val="24"/>
        </w:rPr>
      </w:pPr>
      <w:r>
        <w:rPr>
          <w:rStyle w:val="Character0"/>
          <w:sz w:val="24"/>
          <w:szCs w:val="24"/>
        </w:rPr>
        <w:t xml:space="preserve">Изменение в проектную декларацию</w:t>
      </w:r>
    </w:p>
    <w:p>
      <w:pPr>
        <w:pStyle w:val="Para0"/>
        <w:spacing w:line="276" w:lineRule="auto" w:after="200"/>
        <w:ind w:left="0"/>
        <w:rPr>
          <w:b/>
          <w:sz w:val="24"/>
          <w:szCs w:val="24"/>
        </w:rPr>
      </w:pPr>
      <w:r>
        <w:rPr>
          <w:rStyle w:val="Character0"/>
          <w:sz w:val="24"/>
          <w:szCs w:val="24"/>
        </w:rPr>
        <w:t/>
      </w:r>
    </w:p>
    <w:p>
      <w:pPr>
        <w:pStyle w:val="Para1"/>
        <w:spacing w:line="276" w:lineRule="auto" w:after="200"/>
        <w:ind w:left="0"/>
        <w:rPr>
          <w:b/>
          <w:sz w:val="24"/>
          <w:szCs w:val="24"/>
        </w:rPr>
      </w:pPr>
      <w:r>
        <w:rPr>
          <w:rStyle w:val="Character0"/>
          <w:sz w:val="24"/>
          <w:szCs w:val="24"/>
        </w:rPr>
        <w:t xml:space="preserve">По строительству объекта капитального строительства 7-этажного многоквартирн</w:t>
      </w:r>
      <w:r>
        <w:rPr>
          <w:rStyle w:val="Character0"/>
          <w:sz w:val="24"/>
          <w:szCs w:val="24"/>
        </w:rPr>
        <w:t xml:space="preserve">ого жилого дома с подземной автостоянкой и встроенными в нижние этажи нежилы</w:t>
      </w:r>
      <w:r>
        <w:rPr>
          <w:rStyle w:val="Character0"/>
          <w:sz w:val="24"/>
          <w:szCs w:val="24"/>
        </w:rPr>
        <w:t xml:space="preserve">ми помещениями, с крышной котельной, расположенного по адресу: Калужская обл</w:t>
      </w:r>
      <w:r>
        <w:rPr>
          <w:rStyle w:val="Character0"/>
          <w:sz w:val="24"/>
          <w:szCs w:val="24"/>
        </w:rPr>
        <w:t xml:space="preserve">асть, г. Калуга, ул. Воронина, р-н д. 20/55.</w:t>
      </w:r>
    </w:p>
    <w:p>
      <w:pPr>
        <w:pStyle w:val="Para1"/>
        <w:spacing w:line="276" w:lineRule="auto" w:after="200"/>
        <w:ind w:left="0"/>
        <w:rPr>
          <w:b/>
          <w:sz w:val="24"/>
          <w:szCs w:val="24"/>
        </w:rPr>
      </w:pPr>
      <w:r>
        <w:rPr>
          <w:rStyle w:val="Character0"/>
          <w:sz w:val="24"/>
          <w:szCs w:val="24"/>
        </w:rPr>
        <w:t xml:space="preserve">Г. Клуга                                                                                                                     31 марта 2013г.</w:t>
      </w:r>
    </w:p>
    <w:p>
      <w:pPr>
        <w:pStyle w:val="Para1"/>
        <w:spacing w:line="276" w:lineRule="auto" w:after="200"/>
        <w:ind w:left="0"/>
        <w:rPr>
          <w:b/>
          <w:sz w:val="24"/>
          <w:szCs w:val="24"/>
        </w:rPr>
      </w:pPr>
      <w:r>
        <w:rPr>
          <w:rStyle w:val="Character0"/>
          <w:sz w:val="24"/>
          <w:szCs w:val="24"/>
        </w:rPr>
        <w:t/>
      </w:r>
    </w:p>
    <w:p>
      <w:pPr>
        <w:pStyle w:val="Para1"/>
        <w:spacing w:line="276" w:lineRule="auto" w:after="200"/>
        <w:ind w:left="0"/>
        <w:rPr>
          <w:b/>
          <w:sz w:val="24"/>
          <w:szCs w:val="24"/>
        </w:rPr>
      </w:pPr>
      <w:r>
        <w:rPr>
          <w:rStyle w:val="Character0"/>
          <w:sz w:val="24"/>
          <w:szCs w:val="24"/>
        </w:rPr>
        <w:t xml:space="preserve">Пункт 6 читать в следующей редакции:</w:t>
      </w:r>
    </w:p>
    <w:p>
      <w:pPr>
        <w:pStyle w:val="Para1"/>
        <w:spacing w:line="276" w:lineRule="auto" w:after="200"/>
        <w:ind w:left="0"/>
        <w:rPr>
          <w:sz w:val="24"/>
          <w:szCs w:val="24"/>
        </w:rPr>
      </w:pPr>
      <w:r>
        <w:rPr>
          <w:rStyle w:val="Character1"/>
          <w:sz w:val="24"/>
          <w:szCs w:val="24"/>
        </w:rPr>
        <w:t xml:space="preserve">6. Информация о величине собственных денежных средств, финансовом результате теку</w:t>
      </w:r>
      <w:r>
        <w:rPr>
          <w:rStyle w:val="Character1"/>
          <w:sz w:val="24"/>
          <w:szCs w:val="24"/>
        </w:rPr>
        <w:t xml:space="preserve">щего года, размере кредиторской задолженности на день опубликования проектной де</w:t>
      </w:r>
      <w:r>
        <w:rPr>
          <w:rStyle w:val="Character1"/>
          <w:sz w:val="24"/>
          <w:szCs w:val="24"/>
        </w:rPr>
        <w:t>кларации:</w:t>
      </w:r>
    </w:p>
    <w:p>
      <w:pPr>
        <w:pStyle w:val="Para1"/>
        <w:spacing w:line="276" w:lineRule="auto" w:after="200"/>
        <w:ind w:left="0"/>
        <w:rPr>
          <w:sz w:val="24"/>
          <w:szCs w:val="24"/>
        </w:rPr>
      </w:pPr>
      <w:r>
        <w:rPr>
          <w:rStyle w:val="Character1"/>
          <w:sz w:val="24"/>
          <w:szCs w:val="24"/>
        </w:rPr>
        <w:t xml:space="preserve">-Величина собственных денежных средств ООО «Таширстрой» составляет 14 535 312 ру</w:t>
      </w:r>
      <w:r>
        <w:rPr>
          <w:rStyle w:val="Character1"/>
          <w:sz w:val="24"/>
          <w:szCs w:val="24"/>
        </w:rPr>
        <w:t>б.</w:t>
      </w:r>
    </w:p>
    <w:p>
      <w:pPr>
        <w:pStyle w:val="Para1"/>
        <w:spacing w:line="276" w:lineRule="auto" w:after="200"/>
        <w:ind w:left="0"/>
        <w:rPr>
          <w:sz w:val="24"/>
          <w:szCs w:val="24"/>
        </w:rPr>
      </w:pPr>
      <w:r>
        <w:rPr>
          <w:rStyle w:val="Character1"/>
          <w:sz w:val="24"/>
          <w:szCs w:val="24"/>
        </w:rPr>
        <w:t xml:space="preserve">-Финансовый результат по итогам текущего года на 31.03.2013г. составит 8 тыс.руб.</w:t>
      </w:r>
    </w:p>
    <w:p>
      <w:pPr>
        <w:pStyle w:val="Para1"/>
        <w:spacing w:line="276" w:lineRule="auto" w:after="200"/>
        <w:ind w:left="0"/>
        <w:rPr>
          <w:sz w:val="24"/>
          <w:szCs w:val="24"/>
        </w:rPr>
      </w:pPr>
      <w:r>
        <w:rPr>
          <w:rStyle w:val="Character1"/>
          <w:sz w:val="24"/>
          <w:szCs w:val="24"/>
        </w:rPr>
        <w:t xml:space="preserve">-Размер кредиторской задолженности ООО «Таширстрой» на день составления проектн</w:t>
      </w:r>
      <w:r>
        <w:rPr>
          <w:rStyle w:val="Character1"/>
          <w:sz w:val="24"/>
          <w:szCs w:val="24"/>
        </w:rPr>
        <w:t xml:space="preserve">ой декларации составляет 494 185 тыс. руб.</w:t>
      </w:r>
    </w:p>
    <w:p>
      <w:pPr>
        <w:pStyle w:val="Para1"/>
        <w:spacing w:line="276" w:lineRule="auto" w:after="200"/>
        <w:ind w:left="0"/>
        <w:rPr>
          <w:sz w:val="24"/>
          <w:szCs w:val="24"/>
        </w:rPr>
      </w:pPr>
      <w:r>
        <w:rPr>
          <w:rStyle w:val="Character1"/>
          <w:sz w:val="24"/>
          <w:szCs w:val="24"/>
        </w:rPr>
        <w:t xml:space="preserve">-Размер дебиторской задолженности ООО «Таширстрой» на день составления проектно</w:t>
      </w:r>
      <w:r>
        <w:rPr>
          <w:rStyle w:val="Character1"/>
          <w:sz w:val="24"/>
          <w:szCs w:val="24"/>
        </w:rPr>
        <w:t xml:space="preserve">й декларации составляет 44 421 тыс. руб.</w:t>
      </w:r>
    </w:p>
    <w:p>
      <w:pPr>
        <w:pStyle w:val="Para1"/>
        <w:spacing w:line="276" w:lineRule="auto" w:after="200"/>
        <w:ind w:left="0"/>
        <w:rPr>
          <w:sz w:val="24"/>
          <w:szCs w:val="24"/>
        </w:rPr>
      </w:pPr>
      <w:r>
        <w:rPr>
          <w:rStyle w:val="Character1"/>
          <w:sz w:val="24"/>
          <w:szCs w:val="24"/>
        </w:rPr>
        <w:t/>
      </w:r>
    </w:p>
    <w:p>
      <w:pPr>
        <w:pStyle w:val="Para1"/>
        <w:spacing w:line="276" w:lineRule="auto" w:after="200"/>
        <w:ind w:left="0"/>
        <w:rPr>
          <w:sz w:val="24"/>
          <w:szCs w:val="24"/>
        </w:rPr>
      </w:pPr>
      <w:r>
        <w:rPr>
          <w:rStyle w:val="Character1"/>
          <w:sz w:val="24"/>
          <w:szCs w:val="24"/>
        </w:rPr>
        <w:t/>
      </w:r>
    </w:p>
    <w:p>
      <w:pPr>
        <w:pStyle w:val="Para2"/>
        <w:spacing w:line="276" w:lineRule="auto" w:after="200"/>
        <w:ind w:left="-851" w:firstLine="0"/>
        <w:rPr>
          <w:sz w:val="24"/>
          <w:szCs w:val="24"/>
        </w:rPr>
      </w:pPr>
      <w:r>
        <w:rPr>
          <w:rStyle w:val="Character2"/>
          <w:sz w:val="24"/>
          <w:szCs w:val="24"/>
        </w:rPr>
        <w:t xml:space="preserve">Генеральный директор </w:t>
      </w:r>
    </w:p>
    <w:p>
      <w:pPr>
        <w:pStyle w:val="Para2"/>
        <w:spacing w:line="276" w:lineRule="auto" w:after="200"/>
        <w:ind w:left="-851" w:firstLine="0"/>
        <w:rPr>
          <w:sz w:val="24"/>
          <w:szCs w:val="24"/>
        </w:rPr>
      </w:pPr>
      <w:r>
        <w:rPr>
          <w:rStyle w:val="Character2"/>
          <w:sz w:val="24"/>
          <w:szCs w:val="24"/>
        </w:rPr>
        <w:t xml:space="preserve">ООО  «Таширстрой»</w:t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 xml:space="preserve">                      М.В.Саргсян</w:t>
      </w:r>
    </w:p>
    <w:p>
      <w:pPr>
        <w:pStyle w:val="Para2"/>
        <w:spacing w:line="276" w:lineRule="auto" w:after="200"/>
        <w:ind w:left="-851" w:firstLine="0"/>
        <w:rPr>
          <w:sz w:val="24"/>
          <w:szCs w:val="24"/>
        </w:rPr>
      </w:pPr>
      <w:r>
        <w:rPr>
          <w:rStyle w:val="Character2"/>
          <w:sz w:val="24"/>
          <w:szCs w:val="24"/>
        </w:rPr>
        <w:t/>
      </w:r>
    </w:p>
    <w:p>
      <w:pPr>
        <w:pStyle w:val="Para2"/>
        <w:spacing w:line="276" w:lineRule="auto" w:after="200"/>
        <w:ind w:left="-851" w:firstLine="0"/>
        <w:rPr>
          <w:sz w:val="24"/>
          <w:szCs w:val="24"/>
        </w:rPr>
      </w:pPr>
      <w:r>
        <w:rPr>
          <w:rStyle w:val="Character2"/>
          <w:sz w:val="24"/>
          <w:szCs w:val="24"/>
        </w:rPr>
        <w:t xml:space="preserve">Гл. бухгалтер </w:t>
      </w:r>
    </w:p>
    <w:p>
      <w:pPr>
        <w:pStyle w:val="Para2"/>
        <w:spacing w:line="276" w:lineRule="auto" w:after="200"/>
        <w:ind w:left="-851" w:firstLine="0"/>
        <w:rPr>
          <w:sz w:val="24"/>
          <w:szCs w:val="24"/>
        </w:rPr>
      </w:pPr>
      <w:r>
        <w:rPr>
          <w:rStyle w:val="Character2"/>
          <w:sz w:val="24"/>
          <w:szCs w:val="24"/>
        </w:rPr>
        <w:t xml:space="preserve">ООО  «Таширстрой»</w:t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ab/>
      </w:r>
      <w:r>
        <w:rPr>
          <w:rStyle w:val="Character2"/>
          <w:sz w:val="24"/>
          <w:szCs w:val="24"/>
        </w:rPr>
        <w:t xml:space="preserve">                     Евсеева Л.В. </w:t>
      </w:r>
    </w:p>
    <w:p>
      <w:pPr>
        <w:pStyle w:val="Para1"/>
        <w:spacing w:line="276" w:lineRule="auto" w:after="200"/>
        <w:ind w:left="0"/>
        <w:rPr>
          <w:sz w:val="24"/>
          <w:szCs w:val="24"/>
        </w:rPr>
      </w:pPr>
      <w:r>
        <w:rPr>
          <w:rStyle w:val="Character1"/>
          <w:sz w:val="24"/>
          <w:szCs w:val="24"/>
        </w:rPr>
        <w:t/>
      </w:r>
    </w:p>
    <w:sectPr>
      <w:pgSz w:w="11906" w:h="16838" w:orient="landscape" w:code="9"/>
      <w:pgMar w:top="1134" w:right="850" w:bottom="1134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204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204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204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№Е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№Е" w:eastAsia="№Е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200"/>
      <w:jc w:val="center"/>
      <w:wordWrap w:val="false"/>
      <w:ind w:left="0"/>
      <w:widowControl w:val="false"/>
      <w:rPr/>
    </w:pPr>
  </w:style>
  <w:style w:type="paragraph" w:customStyle="1" w:styleId="Para1">
    <w:name w:val="ParaAttribute1"/>
    <w:pPr>
      <w:spacing w:after="200"/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spacing w:after="200"/>
      <w:jc w:val="left"/>
      <w:wordWrap w:val="false"/>
      <w:ind w:left="-851" w:firstLine="0"/>
      <w:widowControl w:val="false"/>
      <w:rPr/>
    </w:pPr>
  </w:style>
  <w:style w:type="character" w:customStyle="1" w:styleId="Character0">
    <w:name w:val="CharAttribute0"/>
    <w:rPr>
      <w:rFonts w:ascii="Calibri" w:eastAsia="Calibri"/>
      <w:b/>
      <w:sz w:val="24"/>
    </w:rPr>
  </w:style>
  <w:style w:type="character" w:customStyle="1" w:styleId="Character1">
    <w:name w:val="CharAttribute1"/>
    <w:rPr>
      <w:rFonts w:ascii="Calibri" w:eastAsia="Calibri"/>
      <w:sz w:val="24"/>
    </w:rPr>
  </w:style>
  <w:style w:type="character" w:customStyle="1" w:styleId="Character2">
    <w:name w:val="CharAttribute2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Её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ёА °µ"/>
        <a:ea typeface=""/>
        <a:cs typeface=""/>
        <a:font script="Jpan" typeface="ЈЈ Ј««««"/>
        <a:font script="Hang" typeface="ёА °µ"/>
        <a:font script="Hant" typeface="гбЩф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ёА °µ"/>
        <a:ea typeface=""/>
        <a:cs typeface=""/>
        <a:font script="Jpan" typeface="ЈЈ Ј««««"/>
        <a:font script="Hang" typeface="ёА °µ"/>
        <a:font script="Hant" typeface="гбЩф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Бё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